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p w:rsidR="00000000" w:rsidDel="00000000" w:rsidP="00000000" w:rsidRDefault="00000000" w:rsidRPr="00000000" w14:paraId="0000000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Lietuvos studentų sąjungos kompetencijų ugdymo ir bendradarbiavimo skatinimo renginių ciklas 2023</w:t>
      </w:r>
    </w:p>
    <w:p w:rsidR="00000000" w:rsidDel="00000000" w:rsidP="00000000" w:rsidRDefault="00000000" w:rsidRPr="00000000" w14:paraId="00000004">
      <w:pPr>
        <w:spacing w:before="240" w:lineRule="auto"/>
        <w:ind w:left="-285" w:right="478" w:firstLine="0"/>
        <w:jc w:val="center"/>
        <w:rPr>
          <w:rFonts w:ascii="Times New Roman" w:cs="Times New Roman" w:eastAsia="Times New Roman" w:hAnsi="Times New Roman"/>
          <w:sz w:val="20"/>
          <w:szCs w:val="20"/>
        </w:rPr>
      </w:pPr>
      <w:bookmarkStart w:colFirst="0" w:colLast="0" w:name="_heading=h.yjy9hmpum9su" w:id="0"/>
      <w:bookmarkEnd w:id="0"/>
      <w:r w:rsidDel="00000000" w:rsidR="00000000" w:rsidRPr="00000000">
        <w:rPr>
          <w:rFonts w:ascii="Times New Roman" w:cs="Times New Roman" w:eastAsia="Times New Roman" w:hAnsi="Times New Roman"/>
          <w:sz w:val="20"/>
          <w:szCs w:val="20"/>
          <w:rtl w:val="0"/>
        </w:rPr>
        <w:t xml:space="preserve">Finansuota Valstybinio studijų fondo</w:t>
      </w:r>
    </w:p>
    <w:p w:rsidR="00000000" w:rsidDel="00000000" w:rsidP="00000000" w:rsidRDefault="00000000" w:rsidRPr="00000000" w14:paraId="00000005">
      <w:pPr>
        <w:spacing w:before="240" w:lineRule="auto"/>
        <w:ind w:left="-285" w:right="478" w:firstLine="0"/>
        <w:jc w:val="center"/>
        <w:rPr>
          <w:rFonts w:ascii="Times New Roman" w:cs="Times New Roman" w:eastAsia="Times New Roman" w:hAnsi="Times New Roman"/>
          <w:sz w:val="20"/>
          <w:szCs w:val="20"/>
        </w:rPr>
      </w:pPr>
      <w:bookmarkStart w:colFirst="0" w:colLast="0" w:name="_heading=h.errqwmatlrny" w:id="1"/>
      <w:bookmarkEnd w:id="1"/>
      <w:r w:rsidDel="00000000" w:rsidR="00000000" w:rsidRPr="00000000">
        <w:rPr>
          <w:rFonts w:ascii="Times New Roman" w:cs="Times New Roman" w:eastAsia="Times New Roman" w:hAnsi="Times New Roman"/>
          <w:sz w:val="20"/>
          <w:szCs w:val="20"/>
          <w:rtl w:val="0"/>
        </w:rPr>
        <w:t xml:space="preserve">Projektas įgyvendintas 2023-08-01–2023-11-20</w:t>
      </w:r>
    </w:p>
    <w:p w:rsidR="00000000" w:rsidDel="00000000" w:rsidP="00000000" w:rsidRDefault="00000000" w:rsidRPr="00000000" w14:paraId="00000006">
      <w:pPr>
        <w:spacing w:before="240" w:lineRule="auto"/>
        <w:ind w:left="-566.9291338582675"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Gautas finansavimas </w:t>
      </w:r>
      <w:r w:rsidDel="00000000" w:rsidR="00000000" w:rsidRPr="00000000">
        <w:rPr>
          <w:rFonts w:ascii="Times New Roman" w:cs="Times New Roman" w:eastAsia="Times New Roman" w:hAnsi="Times New Roman"/>
          <w:sz w:val="20"/>
          <w:szCs w:val="20"/>
          <w:highlight w:val="white"/>
          <w:rtl w:val="0"/>
        </w:rPr>
        <w:t xml:space="preserve">12 559,63</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Eur, įsisavinta – </w:t>
      </w:r>
      <w:r w:rsidDel="00000000" w:rsidR="00000000" w:rsidRPr="00000000">
        <w:rPr>
          <w:rFonts w:ascii="Times New Roman" w:cs="Times New Roman" w:eastAsia="Times New Roman" w:hAnsi="Times New Roman"/>
          <w:sz w:val="20"/>
          <w:szCs w:val="20"/>
          <w:highlight w:val="white"/>
          <w:rtl w:val="0"/>
        </w:rPr>
        <w:t xml:space="preserve">8 562,85 </w:t>
      </w:r>
      <w:r w:rsidDel="00000000" w:rsidR="00000000" w:rsidRPr="00000000">
        <w:rPr>
          <w:rFonts w:ascii="Times New Roman" w:cs="Times New Roman" w:eastAsia="Times New Roman" w:hAnsi="Times New Roman"/>
          <w:sz w:val="20"/>
          <w:szCs w:val="20"/>
          <w:rtl w:val="0"/>
        </w:rPr>
        <w:t xml:space="preserve"> Eur.</w:t>
      </w:r>
    </w:p>
    <w:p w:rsidR="00000000" w:rsidDel="00000000" w:rsidP="00000000" w:rsidRDefault="00000000" w:rsidRPr="00000000" w14:paraId="00000007">
      <w:pPr>
        <w:spacing w:after="0" w:line="276"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10"/>
          <w:szCs w:val="10"/>
        </w:rPr>
      </w:pPr>
      <w:r w:rsidDel="00000000" w:rsidR="00000000" w:rsidRPr="00000000">
        <w:rPr>
          <w:rtl w:val="0"/>
        </w:rPr>
      </w:r>
    </w:p>
    <w:tbl>
      <w:tblPr>
        <w:tblStyle w:val="Table1"/>
        <w:tblpPr w:leftFromText="180" w:rightFromText="180" w:topFromText="180" w:bottomFromText="180" w:vertAnchor="text" w:horzAnchor="text" w:tblpX="-890.9999999999997" w:tblpY="0"/>
        <w:tblW w:w="10560.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
        <w:gridCol w:w="2060"/>
        <w:gridCol w:w="120"/>
        <w:gridCol w:w="5200"/>
        <w:gridCol w:w="3160"/>
        <w:tblGridChange w:id="0">
          <w:tblGrid>
            <w:gridCol w:w="20"/>
            <w:gridCol w:w="2060"/>
            <w:gridCol w:w="120"/>
            <w:gridCol w:w="5200"/>
            <w:gridCol w:w="3160"/>
          </w:tblGrid>
        </w:tblGridChange>
      </w:tblGrid>
      <w:tr>
        <w:trPr>
          <w:cantSplit w:val="0"/>
          <w:trHeight w:val="275" w:hRule="atLeast"/>
          <w:tblHeader w:val="0"/>
        </w:trPr>
        <w:tc>
          <w:tcPr>
            <w:gridSpan w:val="5"/>
            <w:tcBorders>
              <w:bottom w:color="000000" w:space="0" w:sz="4"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ĮVYKDYTOS PROJEKTO VEIKLOS</w:t>
            </w:r>
          </w:p>
        </w:tc>
      </w:tr>
      <w:tr>
        <w:trPr>
          <w:cantSplit w:val="0"/>
          <w:trHeight w:val="345" w:hRule="atLeast"/>
          <w:tblHeader w:val="0"/>
        </w:trPr>
        <w:tc>
          <w:tcPr>
            <w:gridSpan w:val="2"/>
            <w:tcBorders>
              <w:top w:color="000000" w:space="0" w:sz="4" w:val="single"/>
              <w:bottom w:color="000000" w:space="0" w:sz="4" w:val="single"/>
            </w:tcBorders>
            <w:shd w:fill="ffffff" w:val="clear"/>
            <w:tcMar>
              <w:top w:w="0.0" w:type="dxa"/>
              <w:left w:w="108.0" w:type="dxa"/>
              <w:bottom w:w="0.0" w:type="dxa"/>
              <w:right w:w="108.0" w:type="dxa"/>
            </w:tcMar>
            <w:vAlign w:val="center"/>
          </w:tcPr>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Veiklos pavadinimas</w:t>
            </w:r>
            <w:r w:rsidDel="00000000" w:rsidR="00000000" w:rsidRPr="00000000">
              <w:rPr>
                <w:rtl w:val="0"/>
              </w:rPr>
            </w:r>
          </w:p>
        </w:tc>
        <w:tc>
          <w:tcPr>
            <w:gridSpan w:val="2"/>
            <w:tcBorders>
              <w:top w:color="000000" w:space="0" w:sz="4" w:val="single"/>
              <w:bottom w:color="000000" w:space="0" w:sz="4" w:val="single"/>
            </w:tcBorders>
            <w:tcMar>
              <w:top w:w="0.0" w:type="dxa"/>
              <w:left w:w="108.0" w:type="dxa"/>
              <w:bottom w:w="0.0" w:type="dxa"/>
              <w:right w:w="108.0" w:type="dxa"/>
            </w:tcMar>
            <w:vAlign w:val="bottom"/>
          </w:tcPr>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Trumpa projekto veiklos apžvalga</w:t>
            </w:r>
          </w:p>
        </w:tc>
        <w:tc>
          <w:tcPr>
            <w:tcBorders>
              <w:top w:color="000000" w:space="0" w:sz="4" w:val="single"/>
              <w:bottom w:color="000000" w:space="0" w:sz="4" w:val="single"/>
            </w:tcBorders>
            <w:tcMar>
              <w:top w:w="0.0" w:type="dxa"/>
              <w:left w:w="108.0" w:type="dxa"/>
              <w:bottom w:w="0.0" w:type="dxa"/>
              <w:right w:w="108.0" w:type="dxa"/>
            </w:tcMar>
            <w:vAlign w:val="bottom"/>
          </w:tcPr>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Esminiai veiklos rezultatai</w:t>
            </w:r>
          </w:p>
        </w:tc>
      </w:tr>
      <w:tr>
        <w:trPr>
          <w:cantSplit w:val="0"/>
          <w:trHeight w:val="345" w:hRule="atLeast"/>
          <w:tblHeader w:val="0"/>
        </w:trPr>
        <w:tc>
          <w:tcPr>
            <w:gridSpan w:val="2"/>
            <w:tcBorders>
              <w:top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13">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 Seminarai</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Seminarai vyko spalio 5–7 d. įvairiomis temomis:</w:t>
            </w:r>
          </w:p>
          <w:p w:rsidR="00000000" w:rsidDel="00000000" w:rsidP="00000000" w:rsidRDefault="00000000" w:rsidRPr="00000000" w14:paraId="00000016">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studijų lankstumas ir prieinamumas;</w:t>
            </w:r>
          </w:p>
          <w:p w:rsidR="00000000" w:rsidDel="00000000" w:rsidP="00000000" w:rsidRDefault="00000000" w:rsidRPr="00000000" w14:paraId="00000017">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mikrokredencialai;</w:t>
            </w:r>
          </w:p>
          <w:p w:rsidR="00000000" w:rsidDel="00000000" w:rsidP="00000000" w:rsidRDefault="00000000" w:rsidRPr="00000000" w14:paraId="00000018">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elektroninės mokymosi platformos;</w:t>
            </w:r>
          </w:p>
          <w:p w:rsidR="00000000" w:rsidDel="00000000" w:rsidP="00000000" w:rsidRDefault="00000000" w:rsidRPr="00000000" w14:paraId="00000019">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Ukrainos padėtis;</w:t>
            </w:r>
          </w:p>
          <w:p w:rsidR="00000000" w:rsidDel="00000000" w:rsidP="00000000" w:rsidRDefault="00000000" w:rsidRPr="00000000" w14:paraId="0000001A">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Europos įgūdžių planą;</w:t>
            </w:r>
          </w:p>
          <w:p w:rsidR="00000000" w:rsidDel="00000000" w:rsidP="00000000" w:rsidRDefault="00000000" w:rsidRPr="00000000" w14:paraId="0000001B">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Individualus mokymasis;</w:t>
            </w:r>
          </w:p>
          <w:p w:rsidR="00000000" w:rsidDel="00000000" w:rsidP="00000000" w:rsidRDefault="00000000" w:rsidRPr="00000000" w14:paraId="0000001C">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Studijų kokybė;</w:t>
            </w:r>
          </w:p>
          <w:p w:rsidR="00000000" w:rsidDel="00000000" w:rsidP="00000000" w:rsidRDefault="00000000" w:rsidRPr="00000000" w14:paraId="0000001D">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Lietuvos, Latvijos, Estijos, Farerų sąlų, Islandijos, Suomijos, Danijos, Švedijos, Norvegijos, Europos studentų sąjungos Atstovų pristatymai jų šalių situacijų mokymosi visą gyvenimą tema. </w:t>
            </w:r>
          </w:p>
          <w:p w:rsidR="00000000" w:rsidDel="00000000" w:rsidP="00000000" w:rsidRDefault="00000000" w:rsidRPr="00000000" w14:paraId="0000001E">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Kiekvienas iš seminarų turėjo savo atskirus aptarimus, kuriuose dalyviai diskutavo kaip įmanoma kitų šalių metodus pritaikyti pas juos arba kaip padėti kitai šaliai pasiekti geresnių rezultatų, dalinantis savo patirtimi.</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20">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dalyviai, seminarų metu dalyviai  iš Lietuvos, Latvijos, Estijos, Farerų salų, Islandijos, Suomijos, Danijos, Švedijos, Norvegijos sužinojo ne vien teorinę medžiagą apie socialinės dimensijos vieną iš pažeidžiamųjų grupių – vyresnio amžiaus studentus ir jų patirtį aukštajame moksle, bet ir kitų šalių organizacijų gerąsias ir blogąsias patirtis, pasidalino patarimais ir pagalba, tokiu būdu išsinešdami iš projekto pagilintas kompetencijas aukštojo mokslo srityje į savo šalių studentų sąjungas – e buvo išgrynintas bendros Sąjungos labiausiai pažeidžiamos grupės ir iššūkiai su jomis, mišraus studijavimo pliusai ir minusai, kaip pastaruosius pašalinti, platformų pritaikymas individualius poreikius turintiems studentams, studijų tinklelio pritaikomumas, mikrokredencialų įveiklinimas, kaip vertinama studijų kokybė, kriterijai, kokių vertinimo dalių trūksta kitose šalyse ar Lietuvoje. Seminarus vedė organizacijos, NOM alumnai, Europos studentų sąjungos atstovai, Vilniaus Tech, Kauno technologijos universitetų darbuotojai,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202124"/>
                <w:rtl w:val="0"/>
              </w:rPr>
              <w:t xml:space="preserve">Švietimo, mokslo ir sporto ministro patarėjas aukštojo mokslo klausimais, SKVC atstovas, Suomijos studentų sąjungos, Jonas Ohman Ukrainos tema. </w:t>
            </w:r>
            <w:r w:rsidDel="00000000" w:rsidR="00000000" w:rsidRPr="00000000">
              <w:rPr>
                <w:rtl w:val="0"/>
              </w:rPr>
            </w:r>
          </w:p>
        </w:tc>
      </w:tr>
      <w:tr>
        <w:trPr>
          <w:cantSplit w:val="0"/>
          <w:trHeight w:val="345" w:hRule="atLeast"/>
          <w:tblHeader w:val="0"/>
        </w:trPr>
        <w:tc>
          <w:tcPr>
            <w:gridSpan w:val="2"/>
            <w:tcBorders>
              <w:top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21">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 Darbo grupės</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3">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Spalio 6–7 d. vyko darbo grupės paremtos neformalaus ugdymo metodais:</w:t>
              <w:br w:type="textWrapping"/>
              <w:t xml:space="preserve">Debatai dėl mikrokredencialų įgalinimo Skandinavijos ir Baltijos šalyse;</w:t>
            </w:r>
          </w:p>
          <w:p w:rsidR="00000000" w:rsidDel="00000000" w:rsidP="00000000" w:rsidRDefault="00000000" w:rsidRPr="00000000" w14:paraId="00000024">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Refleksija paremta diskusija apie studijų prieinamumą ir lankstumą.</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26">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dalyviai. Dviejų darbo grupių metu dalyviai galėjo praktiškai pritaikyti įgytas bei turimas žinias:</w:t>
              <w:br w:type="textWrapping"/>
              <w:t xml:space="preserve">Debatų metu dalyviai gilinosi į mikrokredencialų įgalinimą (ar šiuo metu veikia, jei neveikia, kodėl, kaip galima tada juos įveiklinti), ieškojo jų pliusų minusų, kaip tai galima / negalima įtraukti į aukštąjį mokslą. Debatų metu dalyviai ne vien ugdė savo suvokimą apie mikrokredencialus, tačiau ir kritinį mąstymą, dokumentų analizavimą. Debatų metu Skandinavijos šalys išsinešė idėjų kaip įgalinti mikrokredencialus savo šalyse ir kodėl jie reikalingi.</w:t>
            </w:r>
          </w:p>
          <w:p w:rsidR="00000000" w:rsidDel="00000000" w:rsidP="00000000" w:rsidRDefault="00000000" w:rsidRPr="00000000" w14:paraId="0000002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Diskusijos metu apie studijų prieinamumą ir lankstumą studentai gilino žinias šioje temoje, taip pat išsiskyrė pažeidžiamiausias grupes – vyresnio amžiaus studentai, mažesnio soc. ekonominio statuso studentai, keliose šalyse – individualius poreikius turintys studentai. Taip pat buvo diskutuojama, kurias prieigas reikėtų gerinti ir pritaikyti šiems studentams, kaip studijų išlaidos, transportas, paskaitų laikas, mišrios studijos, įranga reikalinga tinkamai studijuoti, parama. </w:t>
            </w:r>
          </w:p>
        </w:tc>
      </w:tr>
      <w:tr>
        <w:trPr>
          <w:cantSplit w:val="0"/>
          <w:trHeight w:val="345" w:hRule="atLeast"/>
          <w:tblHeader w:val="0"/>
        </w:trPr>
        <w:tc>
          <w:tcPr>
            <w:gridSpan w:val="2"/>
            <w:tcBorders>
              <w:top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28">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 Konferencija</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Paskutinę projekto dieną (spalio 8 d.) vyko konferencija, kurios metu buvo kalbamasi apie NOM veiklos efektyvumą ir reagavimą į studentų problemas regione, ateities pasiūlymus Europos studentų sąjungos posėdžiui, narių būseną susivienijime. </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2C">
            <w:pPr>
              <w:spacing w:after="0" w:line="276" w:lineRule="auto"/>
              <w:ind w:firstLine="5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dalyviai. Konferencijos metu buvo apkalbėtas poreikis koordinatorių Baltijos ir Skandinavijos šalių regionų, kurie turi išsikelti sekančiam posėdžiui, komunikacinių problemų sprendžiant regiono studentų klausimus ir kaip jų išvengti bei sudarytos darbo grupės paruošti poziciją ateinančiame Europos studentų sąjungos posėdyje dėl studijų kokybės užtikrinimo ir akademinės laisvės, diskutuota apie NOM narių aktyvumą bei valdymo organų rinkimus ir ateinantį NOM seminarą.</w:t>
            </w:r>
          </w:p>
          <w:p w:rsidR="00000000" w:rsidDel="00000000" w:rsidP="00000000" w:rsidRDefault="00000000" w:rsidRPr="00000000" w14:paraId="0000002D">
            <w:pPr>
              <w:spacing w:after="0" w:line="276" w:lineRule="auto"/>
              <w:ind w:firstLine="53"/>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ee"/>
                  <w:sz w:val="24"/>
                  <w:szCs w:val="24"/>
                  <w:u w:val="single"/>
                  <w:rtl w:val="0"/>
                </w:rPr>
                <w:t xml:space="preserve">NOM conference Agenda</w:t>
              </w:r>
            </w:hyperlink>
            <w:r w:rsidDel="00000000" w:rsidR="00000000" w:rsidRPr="00000000">
              <w:rPr>
                <w:rtl w:val="0"/>
              </w:rPr>
            </w:r>
          </w:p>
        </w:tc>
      </w:tr>
      <w:tr>
        <w:trPr>
          <w:cantSplit w:val="0"/>
          <w:trHeight w:val="345" w:hRule="atLeast"/>
          <w:tblHeader w:val="0"/>
        </w:trPr>
        <w:tc>
          <w:tcPr>
            <w:gridSpan w:val="2"/>
            <w:tcBorders>
              <w:top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2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Neformalūs vakarai –</w:t>
            </w:r>
          </w:p>
          <w:p w:rsidR="00000000" w:rsidDel="00000000" w:rsidP="00000000" w:rsidRDefault="00000000" w:rsidRPr="00000000" w14:paraId="0000002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pažintinis ir susitikimo</w:t>
            </w:r>
          </w:p>
          <w:p w:rsidR="00000000" w:rsidDel="00000000" w:rsidP="00000000" w:rsidRDefault="00000000" w:rsidRPr="00000000" w14:paraId="0000003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vakaras.</w:t>
            </w:r>
          </w:p>
          <w:p w:rsidR="00000000" w:rsidDel="00000000" w:rsidP="00000000" w:rsidRDefault="00000000" w:rsidRPr="00000000" w14:paraId="00000031">
            <w:pPr>
              <w:spacing w:after="0" w:line="276"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Vyko keli neformalūs vakarai (spalio 5–7 d.) – susipažinimo, turas aplink Vilnių bei neformalus uždaromasis vakaras </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Susipažinimo vakare dalyvavo 35 žmonės, kuriame dalyviai susipažino su organizatoriais, savanoriais ir šalių atstovais, tokiu būdu kuriant pamatą pasitikėjimui ir ryšiams renginio metu, tokiu būdu dalyviai galės saugiai jaustis naujoje aplinkoje, išsakyti savo nuomonę. Ture aplink Vilnių dalyvavo 40 žmonių, jo metu dalyviai susipažino su sostine, jos istorija, architektūra, taip pat buvo supažindinama su Lietuvos aukštojo mokslo istorija, pirmuoju universitetu.  Neformaliame uždarymo vakare dalyvavo 60 žmonių, kurio metu šalys pristatė savo tradicinius patiekalus, šalies kultūrinius dalykus. Šios veiklos buvo skirtos stiprinti, kurti naujus Šiaurės šalių organizacijų sąjungos ryšius, neformalių veiklų metu dalyviai dalijosi patirtimi veikiant savo sąjungose, su kokiomis problemomis susiduria ir kaip jas sprendžia.</w:t>
            </w:r>
          </w:p>
        </w:tc>
      </w:tr>
      <w:tr>
        <w:trPr>
          <w:cantSplit w:val="0"/>
          <w:trHeight w:val="345" w:hRule="atLeast"/>
          <w:tblHeader w:val="0"/>
        </w:trPr>
        <w:tc>
          <w:tcPr>
            <w:gridSpan w:val="2"/>
            <w:tcBorders>
              <w:top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 Nacionalinis susitikimas</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renginio vyko Lietuvos atstovų, dalyvavusių NOM, susitikimas, kuriame buvo aptariamos įgytos žinios bei naujos praktikos iš kitų šalių dėl mokymosi visą gyvenimą.</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dalyvių.  Buvo aptariamos įgytos žinios bei naujos praktikos iš kitų šalių (Švedijos, Suomijos) dėl mokymosi visą gyvenimą –  buvo apkalbėti Lietuvos trūkumai ir kokių būdų, sričių, kurias reikėtų tobulinti, yra, tokių kaip yra viešinamos galimybės ir vyresnio amžiaus žmonių / studentų pasiekimas komunikaciniais tinklais, kaip jiems yra pritaikomas studijų tinklelis (laikas, susidėliojimas pagal darbo grafikus, kokių žinių ar įrangos trūksta, kad galėtų lengvai naudotis aukštojo mokslo platformomis), buvo nuspręsta sekančio Lietuvos studentų sąjungos Tarybos metu sudaryti darbo grupę dėl mikrokredencialų tikslingo veikimo Lietuvoje.</w:t>
            </w:r>
          </w:p>
        </w:tc>
      </w:tr>
      <w:tr>
        <w:trPr>
          <w:cantSplit w:val="0"/>
          <w:trHeight w:val="345" w:hRule="atLeast"/>
          <w:tblHeader w:val="0"/>
        </w:trPr>
        <w:tc>
          <w:tcPr>
            <w:gridSpan w:val="2"/>
            <w:tcBorders>
              <w:top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Organizacinis susitikimas</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Susitikimų metu buvo suplanuotos veiklos, jų kiekis, galvojami moderatoriai, paskirstyta atsakomybėmis planavimo ir veiklos vykdymo periodu. </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3F">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dalyvių – LSS darbuotojai ir Vilniaus, Kauno aukštųjų mokyklų studentų atstovybių nariai. Susitikimų metu dalyviai turėjo terpę mokytis organizacinių, kūrybinių ir renginio strategavimo kompetencijų.</w:t>
            </w:r>
          </w:p>
        </w:tc>
      </w:tr>
      <w:tr>
        <w:trPr>
          <w:cantSplit w:val="0"/>
          <w:trHeight w:val="345" w:hRule="atLeast"/>
          <w:tblHeader w:val="0"/>
        </w:trPr>
        <w:tc>
          <w:tcPr>
            <w:gridSpan w:val="2"/>
            <w:tcBorders>
              <w:top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Savanorystė</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Projekto metu Lietuvos studentų sąjungos nariai turėjo progą savanoriauti – pagalba užsieniečiams – nukreipti, palydėti tarp renginio ir gyvenamosios vietos, susigaudant Vilniaus mieste, atsakomybės paruošiant veiklos vietas, kavos pertraukas, superkant rekvizitus, pravedant neformalias veiklas. </w:t>
            </w:r>
          </w:p>
        </w:tc>
        <w:tc>
          <w:tcPr>
            <w:tcBorders>
              <w:top w:color="000000" w:space="0" w:sz="4" w:val="single"/>
              <w:left w:color="000000" w:space="0" w:sz="4" w:val="single"/>
              <w:bottom w:color="000000" w:space="0" w:sz="4" w:val="single"/>
            </w:tcBorders>
            <w:tcMar>
              <w:top w:w="0.0" w:type="dxa"/>
              <w:left w:w="108.0" w:type="dxa"/>
              <w:bottom w:w="0.0" w:type="dxa"/>
              <w:right w:w="108.0" w:type="dxa"/>
            </w:tcMar>
          </w:tcPr>
          <w:p w:rsidR="00000000" w:rsidDel="00000000" w:rsidP="00000000" w:rsidRDefault="00000000" w:rsidRPr="00000000" w14:paraId="0000004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savanoriai. Projekto metu savanoriai ugdė lyderystės, krizių sprendimo, komunikavimo, laiko planavimo kompetencijas, taip pat susipažino su Šiaurės šalių organizacijų atstovais, LSS darbuotojais, turėjo galimybę klausyti paskaitų ir gilinti savo žinias akademinėje ir socialinėje srityje.</w:t>
            </w:r>
          </w:p>
        </w:tc>
      </w:tr>
      <w:tr>
        <w:trPr>
          <w:cantSplit w:val="0"/>
          <w:trHeight w:val="300" w:hRule="atLeast"/>
          <w:tblHeader w:val="0"/>
        </w:trPr>
        <w:tc>
          <w:tcPr>
            <w:tcBorders>
              <w:top w:color="000000" w:space="0" w:sz="4" w:val="single"/>
              <w:left w:color="000000" w:space="0" w:sz="0" w:val="nil"/>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45">
            <w:pPr>
              <w:widowControl w:val="0"/>
              <w:spacing w:after="0" w:line="276" w:lineRule="auto"/>
              <w:rPr>
                <w:sz w:val="24"/>
                <w:szCs w:val="24"/>
              </w:rPr>
            </w:pPr>
            <w:r w:rsidDel="00000000" w:rsidR="00000000" w:rsidRPr="00000000">
              <w:rPr>
                <w:rtl w:val="0"/>
              </w:rPr>
            </w:r>
          </w:p>
        </w:tc>
        <w:tc>
          <w:tcPr>
            <w:gridSpan w:val="4"/>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vAlign w:val="bottom"/>
          </w:tcPr>
          <w:p w:rsidR="00000000" w:rsidDel="00000000" w:rsidP="00000000" w:rsidRDefault="00000000" w:rsidRPr="00000000" w14:paraId="00000046">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VEIKLOS ATASKAITOS PRIEDAI:</w:t>
            </w:r>
          </w:p>
          <w:p w:rsidR="00000000" w:rsidDel="00000000" w:rsidP="00000000" w:rsidRDefault="00000000" w:rsidRPr="00000000" w14:paraId="00000047">
            <w:pPr>
              <w:spacing w:after="0" w:line="276" w:lineRule="auto"/>
              <w:rPr>
                <w:rFonts w:ascii="Times New Roman" w:cs="Times New Roman" w:eastAsia="Times New Roman" w:hAnsi="Times New Roman"/>
                <w:color w:val="1f3864"/>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https://www.instagram.com/p/CyNZNF0sR9S/</w:t>
              </w:r>
            </w:hyperlink>
            <w:r w:rsidDel="00000000" w:rsidR="00000000" w:rsidRPr="00000000">
              <w:rPr>
                <w:rtl w:val="0"/>
              </w:rPr>
            </w:r>
          </w:p>
          <w:p w:rsidR="00000000" w:rsidDel="00000000" w:rsidP="00000000" w:rsidRDefault="00000000" w:rsidRPr="00000000" w14:paraId="00000048">
            <w:pPr>
              <w:spacing w:after="0" w:line="276" w:lineRule="auto"/>
              <w:rPr>
                <w:rFonts w:ascii="Times New Roman" w:cs="Times New Roman" w:eastAsia="Times New Roman" w:hAnsi="Times New Roman"/>
                <w:color w:val="1f3864"/>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http://www.lss.lt/siaures-saliu-studentu-sajungos-susitikimas-aukstojo-mokslo-temos-ir-situacija-ukrainoje/</w:t>
              </w:r>
            </w:hyperlink>
            <w:r w:rsidDel="00000000" w:rsidR="00000000" w:rsidRPr="00000000">
              <w:rPr>
                <w:rtl w:val="0"/>
              </w:rPr>
            </w:r>
          </w:p>
          <w:p w:rsidR="00000000" w:rsidDel="00000000" w:rsidP="00000000" w:rsidRDefault="00000000" w:rsidRPr="00000000" w14:paraId="00000049">
            <w:pPr>
              <w:spacing w:after="0" w:line="276" w:lineRule="auto"/>
              <w:rPr>
                <w:rFonts w:ascii="Times New Roman" w:cs="Times New Roman" w:eastAsia="Times New Roman" w:hAnsi="Times New Roman"/>
                <w:color w:val="1f3864"/>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https://bit.ly/3R9w44e</w:t>
              </w:r>
            </w:hyperlink>
            <w:r w:rsidDel="00000000" w:rsidR="00000000" w:rsidRPr="00000000">
              <w:rPr>
                <w:rtl w:val="0"/>
              </w:rPr>
            </w:r>
          </w:p>
        </w:tc>
      </w:tr>
    </w:tbl>
    <w:p w:rsidR="00000000" w:rsidDel="00000000" w:rsidP="00000000" w:rsidRDefault="00000000" w:rsidRPr="00000000" w14:paraId="0000004D">
      <w:pPr>
        <w:spacing w:after="0" w:line="276"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4E">
      <w:pPr>
        <w:spacing w:after="0" w:line="276" w:lineRule="auto"/>
        <w:rPr>
          <w:rFonts w:ascii="Times New Roman" w:cs="Times New Roman" w:eastAsia="Times New Roman" w:hAnsi="Times New Roman"/>
          <w:sz w:val="10"/>
          <w:szCs w:val="10"/>
        </w:rPr>
      </w:pPr>
      <w:r w:rsidDel="00000000" w:rsidR="00000000" w:rsidRPr="00000000">
        <w:rPr>
          <w:rtl w:val="0"/>
        </w:rPr>
      </w:r>
    </w:p>
    <w:sectPr>
      <w:headerReference r:id="rId11" w:type="default"/>
      <w:headerReference r:id="rId12" w:type="first"/>
      <w:headerReference r:id="rId13" w:type="even"/>
      <w:pgSz w:h="15840" w:w="12240" w:orient="portrait"/>
      <w:pgMar w:bottom="1134" w:top="1134" w:left="1701" w:right="104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pict>
        <v:shape id="WordPictureWatermark2" style="position:absolute;width:600.8pt;height:851.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pict>
        <v:shape id="WordPictureWatermark3" style="position:absolute;width:600.8pt;height:851.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color w:val="000000"/>
      </w:rPr>
      <w:pict>
        <v:shape id="WordPictureWatermark1" style="position:absolute;width:600.8pt;height:851.4pt;rotation:0;z-index:-503316481;mso-position-horizontal-relative:margin;mso-position-horizontal:center;mso-position-vertical-relative:margin;mso-position-vertical:center;"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bit.ly/3R9w44e"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ss.lt/siaures-saliu-studentu-sajungos-susitikimas-aukstojo-mokslo-temos-ir-situacija-ukrainoj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XIe9THNk8jNoT-DR48FX5DfzqjMEAtW4uQCKDXjxWss/edit?usp=sharing" TargetMode="External"/><Relationship Id="rId8" Type="http://schemas.openxmlformats.org/officeDocument/2006/relationships/hyperlink" Target="https://www.instagram.com/p/CyNZNF0sR9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xOHG8qJBWQeo4e1CegYyh0xdhQ==">CgMxLjAyDmgueWp5OWhtcHVtOXN1Mg5oLmVycnF3bWF0bHJueTgAciExS0dfOXRtR1NOeDVrY3J5ZHB3bEV4LVJSZ0VEM1FSUDY=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